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default" w:ascii="黑体" w:hAnsi="黑体" w:eastAsia="黑体" w:cs="宋体"/>
          <w:b/>
          <w:bCs/>
          <w:sz w:val="32"/>
          <w:szCs w:val="32"/>
        </w:rPr>
        <w:t>中光高级中学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20</w:t>
      </w:r>
      <w:r>
        <w:rPr>
          <w:rFonts w:hint="default" w:ascii="黑体" w:hAnsi="黑体" w:eastAsia="黑体" w:cs="宋体"/>
          <w:b/>
          <w:bCs/>
          <w:sz w:val="32"/>
          <w:szCs w:val="32"/>
        </w:rPr>
        <w:t>22学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年度</w:t>
      </w:r>
    </w:p>
    <w:p>
      <w:pPr>
        <w:spacing w:line="360" w:lineRule="auto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default" w:ascii="黑体" w:hAnsi="黑体" w:eastAsia="黑体" w:cs="宋体"/>
          <w:b/>
          <w:bCs/>
          <w:sz w:val="32"/>
          <w:szCs w:val="32"/>
        </w:rPr>
        <w:t>中层行政干部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述职述廉报告</w:t>
      </w:r>
    </w:p>
    <w:p>
      <w:pPr>
        <w:spacing w:line="360" w:lineRule="auto"/>
        <w:jc w:val="center"/>
        <w:rPr>
          <w:rFonts w:ascii="楷体" w:hAnsi="楷体" w:eastAsia="楷体" w:cs="宋体"/>
          <w:sz w:val="28"/>
          <w:szCs w:val="24"/>
        </w:rPr>
      </w:pPr>
      <w:r>
        <w:rPr>
          <w:rFonts w:hint="eastAsia" w:ascii="楷体" w:hAnsi="楷体" w:eastAsia="楷体" w:cs="宋体"/>
          <w:sz w:val="28"/>
          <w:szCs w:val="24"/>
        </w:rPr>
        <w:t xml:space="preserve">部门 </w:t>
      </w:r>
      <w:r>
        <w:rPr>
          <w:rFonts w:hint="default" w:ascii="楷体" w:hAnsi="楷体" w:eastAsia="楷体" w:cs="宋体"/>
          <w:sz w:val="28"/>
          <w:szCs w:val="24"/>
        </w:rPr>
        <w:t xml:space="preserve">  </w:t>
      </w:r>
      <w:r>
        <w:rPr>
          <w:rFonts w:hint="eastAsia" w:ascii="楷体" w:hAnsi="楷体" w:eastAsia="楷体" w:cs="宋体"/>
          <w:sz w:val="28"/>
          <w:szCs w:val="24"/>
          <w:lang w:val="en-US" w:eastAsia="zh-Hans"/>
        </w:rPr>
        <w:t>教学服务部</w:t>
      </w:r>
      <w:r>
        <w:rPr>
          <w:rFonts w:hint="eastAsia" w:ascii="楷体" w:hAnsi="楷体" w:eastAsia="楷体" w:cs="宋体"/>
          <w:sz w:val="28"/>
          <w:szCs w:val="24"/>
        </w:rPr>
        <w:t xml:space="preserve">   姓名</w:t>
      </w:r>
      <w:r>
        <w:rPr>
          <w:rFonts w:hint="default" w:ascii="楷体" w:hAnsi="楷体" w:eastAsia="楷体" w:cs="宋体"/>
          <w:sz w:val="28"/>
          <w:szCs w:val="24"/>
        </w:rPr>
        <w:t xml:space="preserve">   </w:t>
      </w:r>
      <w:r>
        <w:rPr>
          <w:rFonts w:hint="eastAsia" w:ascii="楷体" w:hAnsi="楷体" w:eastAsia="楷体" w:cs="宋体"/>
          <w:sz w:val="28"/>
          <w:szCs w:val="24"/>
          <w:lang w:val="en-US" w:eastAsia="zh-Hans"/>
        </w:rPr>
        <w:t>杨丽琴</w:t>
      </w:r>
    </w:p>
    <w:p>
      <w:pPr>
        <w:spacing w:line="360" w:lineRule="auto"/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</w:pPr>
      <w:r>
        <w:rPr>
          <w:rFonts w:hint="default" w:ascii="宋体" w:hAnsi="宋体" w:cs="宋体"/>
          <w:b/>
          <w:bCs/>
          <w:color w:val="000000"/>
          <w:kern w:val="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bCs/>
          <w:color w:val="000000"/>
          <w:kern w:val="0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作为一名党员教师，一名中层干部，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学年在做好岗位常规的基础上，我有更多的新思考、新实践、新探索；我主动追求朝着成为一名心中有师生，眼中有岗位，行动讲育人的“人师”的方向迈进。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both"/>
        <w:textAlignment w:val="auto"/>
        <w:outlineLvl w:val="9"/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  <w:t>一、思想纯正，甘于付出。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高站位，勇担当，愿付出，是作为党员干部的底色，也是我在学科教学及岗位工作中，不断努力的方向。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学年，我扎根一线，身先表率，以教学育人优良成效践行党员使命，践行中层干部的职责。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在工作中，我始终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不忘加强理论学习，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提高政治站位，立足学生本位，着眼学校大局，从教育教学和岗位工作的需求出发，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提升理论素养，思想纯正，甘于付出。</w:t>
      </w:r>
    </w:p>
    <w:p>
      <w:pPr>
        <w:spacing w:line="360" w:lineRule="auto"/>
        <w:ind w:firstLine="480" w:firstLineChars="200"/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本学年根据学校教学工作要求，在作好岗位工作的同时，我也主动承担高三两个班的教学任务，接手的高三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班学生成绩稳步上升。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在学校区教育教学综合督导过程中，根据学校布局，积极承担相关迎检工作。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both"/>
        <w:textAlignment w:val="auto"/>
        <w:outlineLvl w:val="9"/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  <w:t>二、主动作为，守正创新。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主动作为，守正创新，这是我对岗位的工作的承诺。担任教学服务部副主任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的第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三年间，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我立足岗位，做好常规工作，保证部门工作有效运转。本学年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，在分管艾校长的带领下，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恪尽职守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协助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做好课程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实施、科研课题管理、体艺科卫等各项日常的基础性工作。同时，勇于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在负责的课堂教学变革探索、课程建设、科研工作中展开创新实践，取得成效。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（一）教学：聚焦素养，变革课堂。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在学校规划下，继从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的“关注问答”到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的“注重问题链”的教学研讨活动，我在校领导的带领下执行了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学年课堂教学“基于情境”的课堂教学研讨活动。历经三年，持续推进课堂教学改进探索，逐步形成指向素养培育、促进自主建构课堂教学模式的新要点：明晰起点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问题引领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化入情境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任务驱动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方法指导。课堂教学注入新内涵，呈现新样态。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年学校教学改进举措被第一教育推广报道。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年，学校则开启了“以评促教，赋能课堂”的课堂教学变革新探索。目前，围绕探索主题制定了推进方案流程，开展了职初教师课堂教学评价调研及讲座。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课程：更新迭代，凸显特色。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在学校规划，校领导的引领下，聚焦“文创”特色，推进“中兴之光，国艺育人”特色课程更新迭代，秉承“课程适配”的理念，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年初步形成“三纵三横”立体化的文创特色课程体系：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以文创特色为原点，横向以文化传承与理解、艺术审美与探究、社会实践与创造为第二层级课程模块，分别对应形成第三级课程群及下属若干特色课程；纵向以文创特色为原点，形成了必修、选择性必修、校本选修的三纵立体化课程网络，支撑学校的特色发展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在此基础上，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进一步深化和扎实课程的推进实施。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年重点打造了花丝工艺、摄影、陶艺、心理剧四门精品课程，为学生广泛喜爱，万鹏鹏老师执教的摄影课程为文汇报宣传报道，后续将进一步推进美术、茶艺、舞蹈等精品课程打造。同时，创造性将学生的文创成果融入到学生的学业评价中，由花丝工艺课程定制的中光学生学业奖章系列，让获奖同学备受鼓舞，欣喜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lang w:eastAsia="zh-Hans"/>
        </w:rPr>
        <w:t>2022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年师生在文创类比赛中获奖比例增至</w:t>
      </w:r>
      <w:r>
        <w:rPr>
          <w:rFonts w:hint="default" w:asciiTheme="minorEastAsia" w:hAnsiTheme="minorEastAsia" w:cstheme="minorEastAsia"/>
          <w:b w:val="0"/>
          <w:bCs w:val="0"/>
          <w:sz w:val="24"/>
          <w:lang w:eastAsia="zh-Hans"/>
        </w:rPr>
        <w:t>70%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科研：研训结合，赋能教学。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在学校的支持下，创造性推进“研教训一体”模式，推进校级项目“攀登计划”，引领骨干教师聚焦“双新”推进及学校特色育人等领域，攻克难题。学校连续</w:t>
      </w:r>
      <w:r>
        <w:rPr>
          <w:rFonts w:hint="default" w:asciiTheme="minorEastAsia" w:hAnsiTheme="minorEastAsia" w:cstheme="minorEastAsia"/>
          <w:b w:val="0"/>
          <w:bCs w:val="0"/>
          <w:sz w:val="24"/>
          <w:lang w:eastAsia="zh-Hans"/>
        </w:rPr>
        <w:t>4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年立项区级重点课题，近年来课题立项率每年均超过区级总体立项率，</w:t>
      </w:r>
      <w:r>
        <w:rPr>
          <w:rFonts w:hint="default" w:asciiTheme="minorEastAsia" w:hAnsiTheme="minorEastAsia" w:cstheme="minorEastAsia"/>
          <w:b w:val="0"/>
          <w:bCs w:val="0"/>
          <w:sz w:val="24"/>
          <w:lang w:eastAsia="zh-Hans"/>
        </w:rPr>
        <w:t>2023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年区级课题立项</w:t>
      </w:r>
      <w:r>
        <w:rPr>
          <w:rFonts w:hint="default" w:asciiTheme="minorEastAsia" w:hAnsiTheme="minorEastAsia" w:cstheme="minorEastAsia"/>
          <w:b w:val="0"/>
          <w:bCs w:val="0"/>
          <w:sz w:val="24"/>
          <w:lang w:eastAsia="zh-Hans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项；</w:t>
      </w:r>
      <w:r>
        <w:rPr>
          <w:rFonts w:hint="default" w:asciiTheme="minorEastAsia" w:hAnsiTheme="minorEastAsia" w:cstheme="minorEastAsia"/>
          <w:b w:val="0"/>
          <w:bCs w:val="0"/>
          <w:sz w:val="24"/>
          <w:lang w:eastAsia="zh-Hans"/>
        </w:rPr>
        <w:t>2022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年区级科研成果评审</w:t>
      </w:r>
      <w:r>
        <w:rPr>
          <w:rFonts w:hint="default" w:asciiTheme="minorEastAsia" w:hAnsiTheme="minorEastAsia" w:cstheme="minorEastAsia"/>
          <w:b w:val="0"/>
          <w:bCs w:val="0"/>
          <w:sz w:val="24"/>
          <w:lang w:eastAsia="zh-Hans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项获奖（共申报</w:t>
      </w:r>
      <w:r>
        <w:rPr>
          <w:rFonts w:hint="default" w:asciiTheme="minorEastAsia" w:hAnsiTheme="minorEastAsia" w:cstheme="minorEastAsia"/>
          <w:b w:val="0"/>
          <w:bCs w:val="0"/>
          <w:sz w:val="24"/>
          <w:lang w:eastAsia="zh-Hans"/>
        </w:rPr>
        <w:t>4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项），成果区成果获奖大幅提升；</w:t>
      </w:r>
      <w:r>
        <w:rPr>
          <w:rFonts w:hint="default" w:asciiTheme="minorEastAsia" w:hAnsiTheme="minorEastAsia" w:cstheme="minorEastAsia"/>
          <w:b w:val="0"/>
          <w:bCs w:val="0"/>
          <w:sz w:val="24"/>
          <w:lang w:eastAsia="zh-Hans"/>
        </w:rPr>
        <w:t>2022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黄埔杯长三角征文比赛申报论文全部获奖；经过申报、评审、答辩成功成为嘉定区“燎原计划”科研成果推广辐射基地校，有效推动学校语文学科教训活动；学校《“课程适配制”：“中兴之光，国艺育人”特色课程建设的实践研究》及《支架教学理论视域下促进教与学方式转变的实践研究》成功申报嘉定区提升中小学课程领导力行动研究项目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cstheme="minorEastAsia"/>
          <w:b w:val="0"/>
          <w:bCs w:val="0"/>
          <w:sz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Hans"/>
        </w:rPr>
        <w:t>科研反哺教育教学成效逐步显现。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both"/>
        <w:textAlignment w:val="auto"/>
        <w:outlineLvl w:val="9"/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</w:pPr>
      <w:r>
        <w:rPr>
          <w:rFonts w:hint="eastAsia" w:ascii="Heiti SC Medium" w:hAnsi="Heiti SC Medium" w:eastAsia="Heiti SC Medium" w:cs="Heiti SC Medium"/>
          <w:b/>
          <w:bCs w:val="0"/>
          <w:sz w:val="24"/>
          <w:szCs w:val="24"/>
          <w:lang w:val="en-US" w:eastAsia="zh-Hans"/>
        </w:rPr>
        <w:t>三、总结反思，展望前行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有效反思方能更好进取，由于经验、能力、学识的不足，在工作中虽力求全力以赴，但仍有许多不足。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其一，特色课程体系仍需要进一步完善和探索校本化特色路径实施，丰富课程样态，提高课程实施成效。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其二、课堂教学改进项目仍须进一步扎根落实，促进课堂变革的常态化、持续化，以进一步提升课堂教学质量。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其三、科研梯队趋于完善，但如何更好地发挥其研究效能，赋能教学及学校特色发展仍须进一步探索。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在反思中提升，在规划中迈步。在</w:t>
      </w:r>
      <w:r>
        <w:rPr>
          <w:rFonts w:hint="default" w:asciiTheme="minorEastAsia" w:hAnsiTheme="minorEastAsia" w:cstheme="minor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学年，亦将进一步立足岗位，踏实前行。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8B93"/>
    <w:multiLevelType w:val="singleLevel"/>
    <w:tmpl w:val="FFE78B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AB32"/>
    <w:rsid w:val="707FAB32"/>
    <w:rsid w:val="7EABD8BD"/>
    <w:rsid w:val="7FFFB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2023-06-16T01:01:00Z</dcterms:created>
  <dc:creator>中光高中 杨丽琴</dc:creator>
  <cp:lastModifiedBy>妞妞</cp:lastModifiedBy>
  <dcterms:modified xsi:type="dcterms:W3CDTF">2023-06-21T12:11:36Z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742234AB8F4258C3D0628A64E133A826</vt:lpwstr>
  </property>
</Properties>
</file>